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5040" w:firstLine="720"/>
        <w:spacing w:after="0" w:line="360" w:lineRule="auto"/>
        <w:jc w:val="center"/>
        <w:rPr>
          <w:rFonts w:ascii="Times New Roman" w:hAnsi="Times New Roman" w:eastAsia="Times New Roman"/>
          <w:b/>
          <w:sz w:val="24"/>
          <w:szCs w:val="24"/>
          <w:lang w:val="es-es"/>
        </w:rPr>
      </w:pPr>
      <w:r>
        <w:rPr>
          <w:rFonts w:ascii="Times New Roman" w:hAnsi="Times New Roman" w:eastAsia="Times New Roman"/>
          <w:b/>
          <w:sz w:val="24"/>
          <w:szCs w:val="24"/>
          <w:lang w:val="es-es"/>
        </w:rPr>
        <w:t>ORDENANZA Nº 763/25</w:t>
      </w:r>
    </w:p>
    <w:p>
      <w:pPr>
        <w:ind w:left="5040"/>
        <w:spacing w:after="0" w:line="360" w:lineRule="auto"/>
        <w:jc w:val="center"/>
        <w:rPr>
          <w:rFonts w:ascii="Times New Roman" w:hAnsi="Times New Roman" w:eastAsia="Times New Roman"/>
          <w:b/>
          <w:sz w:val="24"/>
          <w:szCs w:val="24"/>
          <w:lang w:val="es-es"/>
        </w:rPr>
      </w:pPr>
      <w:r>
        <w:rPr>
          <w:rFonts w:ascii="Times New Roman" w:hAnsi="Times New Roman" w:eastAsia="Times New Roman"/>
          <w:b/>
          <w:sz w:val="24"/>
          <w:szCs w:val="24"/>
          <w:lang w:val="es-es"/>
        </w:rPr>
        <w:t>Acebal, 20 de Febrero de 2025</w:t>
      </w:r>
    </w:p>
    <w:p>
      <w:pPr>
        <w:spacing w:after="0" w:line="360" w:lineRule="auto"/>
        <w:rPr>
          <w:rFonts w:ascii="Times New Roman" w:hAnsi="Times New Roman" w:eastAsia="Times New Roman"/>
          <w:b/>
          <w:sz w:val="24"/>
          <w:szCs w:val="24"/>
          <w:lang w:val="es-es"/>
        </w:rPr>
      </w:pPr>
      <w:r>
        <w:rPr>
          <w:rFonts w:ascii="Times New Roman" w:hAnsi="Times New Roman" w:eastAsia="Times New Roman"/>
          <w:b/>
          <w:sz w:val="24"/>
          <w:szCs w:val="24"/>
          <w:lang w:val="es-es"/>
        </w:rPr>
      </w:r>
    </w:p>
    <w:p>
      <w:pPr>
        <w:spacing w:after="0" w:line="360" w:lineRule="auto"/>
        <w:rPr>
          <w:rFonts w:ascii="Times New Roman" w:hAnsi="Times New Roman" w:eastAsia="Times New Roman"/>
          <w:b/>
          <w:sz w:val="24"/>
          <w:szCs w:val="24"/>
          <w:lang w:val="es-es"/>
        </w:rPr>
      </w:pPr>
      <w:r>
        <w:rPr>
          <w:rFonts w:ascii="Times New Roman" w:hAnsi="Times New Roman" w:eastAsia="Times New Roman"/>
          <w:b/>
          <w:sz w:val="24"/>
          <w:szCs w:val="24"/>
          <w:lang w:val="es-es"/>
        </w:rPr>
      </w:r>
    </w:p>
    <w:p>
      <w:pPr>
        <w:spacing w:after="0" w:line="360" w:lineRule="auto"/>
        <w:rPr>
          <w:rFonts w:ascii="Times New Roman" w:hAnsi="Times New Roman" w:eastAsia="Times New Roman"/>
          <w:b/>
          <w:sz w:val="24"/>
          <w:szCs w:val="24"/>
          <w:lang w:val="es-es"/>
        </w:rPr>
      </w:pPr>
      <w:r>
        <w:rPr>
          <w:rFonts w:ascii="Times New Roman" w:hAnsi="Times New Roman" w:eastAsia="Times New Roman"/>
          <w:b/>
          <w:sz w:val="24"/>
          <w:szCs w:val="24"/>
          <w:lang w:val="es-es"/>
        </w:rPr>
        <w:t>V I S T O</w:t>
      </w:r>
    </w:p>
    <w:p>
      <w:pPr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lang w:val="es-es"/>
        </w:rPr>
      </w:pPr>
      <w:r>
        <w:rPr>
          <w:rFonts w:ascii="Times New Roman" w:hAnsi="Times New Roman" w:eastAsia="Times New Roman"/>
          <w:sz w:val="24"/>
          <w:szCs w:val="24"/>
          <w:lang w:val="es-es"/>
        </w:rPr>
        <w:tab/>
        <w:t>Los expedientes judiciales</w:t>
      </w:r>
      <w:r>
        <w:rPr>
          <w:rFonts w:ascii="Times New Roman" w:hAnsi="Times New Roman" w:eastAsia="Times New Roman"/>
          <w:sz w:val="24"/>
          <w:szCs w:val="24"/>
          <w:noProof w:val="1"/>
        </w:rPr>
        <w:t xml:space="preserve"> de trámite ante Corte Suprema de Justicia de la Provincia de Santa Fe</w:t>
      </w:r>
      <w:r>
        <w:rPr>
          <w:rFonts w:ascii="Times New Roman" w:hAnsi="Times New Roman" w:eastAsia="Times New Roman"/>
          <w:sz w:val="24"/>
          <w:szCs w:val="24"/>
          <w:lang w:val="es-es"/>
        </w:rPr>
        <w:t>.</w:t>
      </w:r>
      <w:r>
        <w:rPr>
          <w:rFonts w:ascii="Times New Roman" w:hAnsi="Times New Roman" w:eastAsia="Times New Roman"/>
          <w:sz w:val="24"/>
          <w:szCs w:val="24"/>
          <w:lang w:val="es-es"/>
        </w:rPr>
      </w:r>
    </w:p>
    <w:p>
      <w:pPr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noProof w:val="1"/>
        </w:rPr>
      </w:pPr>
      <w:r>
        <w:rPr>
          <w:rFonts w:ascii="Times New Roman" w:hAnsi="Times New Roman" w:eastAsia="Times New Roman"/>
          <w:sz w:val="24"/>
          <w:szCs w:val="24"/>
          <w:lang w:val="es-es"/>
        </w:rPr>
        <w:tab/>
      </w:r>
      <w:r>
        <w:rPr>
          <w:rFonts w:ascii="Times New Roman" w:hAnsi="Times New Roman" w:eastAsia="Times New Roman"/>
          <w:sz w:val="24"/>
          <w:szCs w:val="24"/>
          <w:noProof w:val="1"/>
        </w:rPr>
        <w:t>El Presupuesto General de Gastos y Cálculo de recursos de la Comuna de Acebal correspondie</w:t>
      </w:r>
      <w:r>
        <w:rPr>
          <w:rFonts w:ascii="Times New Roman" w:hAnsi="Times New Roman" w:eastAsia="Times New Roman"/>
          <w:sz w:val="24"/>
          <w:szCs w:val="24"/>
          <w:noProof w:val="1"/>
        </w:rPr>
        <w:t>nte al ejercicio económico 2025</w:t>
      </w:r>
      <w:r>
        <w:rPr>
          <w:rFonts w:ascii="Times New Roman" w:hAnsi="Times New Roman" w:eastAsia="Times New Roman"/>
          <w:sz w:val="24"/>
          <w:szCs w:val="24"/>
          <w:noProof w:val="1"/>
        </w:rPr>
        <w:t xml:space="preserve"> aprobado por Ordenanza N° 759/25 de fecha  3  de Febrero de 2025;</w:t>
      </w:r>
      <w:r>
        <w:rPr>
          <w:rFonts w:ascii="Times New Roman" w:hAnsi="Times New Roman" w:eastAsia="Times New Roman"/>
          <w:sz w:val="24"/>
          <w:szCs w:val="24"/>
          <w:noProof w:val="1"/>
        </w:rPr>
      </w:r>
    </w:p>
    <w:p>
      <w:pPr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noProof w:val="1"/>
        </w:rPr>
      </w:pPr>
      <w:r>
        <w:rPr>
          <w:rFonts w:ascii="Times New Roman" w:hAnsi="Times New Roman" w:eastAsia="Times New Roman"/>
          <w:sz w:val="24"/>
          <w:szCs w:val="24"/>
          <w:noProof w:val="1"/>
        </w:rPr>
        <w:tab/>
        <w:t xml:space="preserve">Las disposiciones contenidas en la Ley N° 7234 de la Provincia de Santa Fe, Art. 8 y 9, modificada por la Ley N° 12.036; y </w:t>
      </w:r>
    </w:p>
    <w:p>
      <w:pPr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noProof w:val="1"/>
        </w:rPr>
      </w:pPr>
      <w:r>
        <w:rPr>
          <w:rFonts w:ascii="Times New Roman" w:hAnsi="Times New Roman" w:eastAsia="Times New Roman"/>
          <w:sz w:val="24"/>
          <w:szCs w:val="24"/>
          <w:noProof w:val="1"/>
        </w:rPr>
      </w:r>
    </w:p>
    <w:p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noProof w:val="1"/>
        </w:rPr>
      </w:pPr>
      <w:r>
        <w:rPr>
          <w:rFonts w:ascii="Times New Roman" w:hAnsi="Times New Roman" w:eastAsia="Times New Roman"/>
          <w:b/>
          <w:sz w:val="24"/>
          <w:szCs w:val="24"/>
          <w:noProof w:val="1"/>
        </w:rPr>
        <w:t>C O N S I D E R A N D O</w:t>
      </w:r>
    </w:p>
    <w:p>
      <w:pPr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noProof w:val="1"/>
        </w:rPr>
      </w:pPr>
      <w:r>
        <w:rPr>
          <w:rFonts w:ascii="Times New Roman" w:hAnsi="Times New Roman" w:eastAsia="Times New Roman"/>
          <w:sz w:val="24"/>
          <w:szCs w:val="24"/>
          <w:noProof w:val="1"/>
        </w:rPr>
        <w:tab/>
        <w:t xml:space="preserve">Que, en los expedientes judiciales BRIDGESTONE ARGENTINA SAIC C/ COMUNA DE ACEBAL-RCA- (CUIJ 21-17456232-3) S/ QUEJA POR DENEGACIÓN DEL RECURSO DE INCONSTITUCIONALIDAD, CUIJ NRO. 21-200515976-5 de trámite ante Corte Suprema de Justicia de la Provincia de Santa Fe, se deniega la concesión del Recurso Extraordinario ante la Corte Suprema de Justicia de la Nación. </w:t>
      </w:r>
    </w:p>
    <w:p>
      <w:pPr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noProof w:val="1"/>
        </w:rPr>
      </w:pPr>
      <w:r>
        <w:rPr>
          <w:rFonts w:ascii="Times New Roman" w:hAnsi="Times New Roman" w:eastAsia="Times New Roman"/>
          <w:sz w:val="24"/>
          <w:szCs w:val="24"/>
          <w:noProof w:val="1"/>
        </w:rPr>
        <w:tab/>
        <w:t>Que se debe autorizar expresamente a los apoderados de la administración comunal a ir en Queja ante la Corte Suprema de Justicia de la Nación por denegación del Recurso Extraordinario interpuesto en cada expediente, contemplado en la Ley N° 48 y Código Procesal Civil y Comercial de la Nación.</w:t>
      </w:r>
    </w:p>
    <w:p>
      <w:pPr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noProof w:val="1"/>
        </w:rPr>
      </w:pPr>
      <w:r>
        <w:rPr>
          <w:rFonts w:ascii="Times New Roman" w:hAnsi="Times New Roman" w:eastAsia="Times New Roman"/>
          <w:sz w:val="24"/>
          <w:szCs w:val="24"/>
          <w:noProof w:val="1"/>
        </w:rPr>
        <w:tab/>
        <w:t xml:space="preserve">Que, por otro lado, la presentación de la queja mencionada requiere que se efectúe un depósito judicial de $900.000,00 (PESOS NOVECIENTOS MIL) por cada uno de los expedientes. </w:t>
        <w:tab/>
        <w:tab/>
      </w:r>
    </w:p>
    <w:p>
      <w:pPr>
        <w:spacing w:after="0" w:line="360" w:lineRule="auto"/>
        <w:jc w:val="both"/>
        <w:rPr>
          <w:rFonts w:ascii="Times New Roman" w:hAnsi="Times New Roman" w:eastAsia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 w:eastAsia="Times New Roman"/>
          <w:sz w:val="24"/>
          <w:szCs w:val="24"/>
          <w:noProof w:val="1"/>
        </w:rPr>
        <w:tab/>
      </w:r>
      <w:r>
        <w:rPr>
          <w:rFonts w:ascii="Times New Roman" w:hAnsi="Times New Roman" w:eastAsia="Times New Roman"/>
          <w:color w:val="000000"/>
          <w:sz w:val="24"/>
          <w:szCs w:val="24"/>
          <w:lang w:val="es-es"/>
        </w:rPr>
        <w:t>Que el Presupuesto 2025</w:t>
      </w:r>
      <w:r>
        <w:rPr>
          <w:rFonts w:ascii="Times New Roman" w:hAnsi="Times New Roman" w:eastAsia="Times New Roman"/>
          <w:color w:val="000000"/>
          <w:sz w:val="24"/>
          <w:szCs w:val="24"/>
          <w:lang w:val="es-es"/>
        </w:rPr>
        <w:t xml:space="preserve"> no cuenta con saldo suficiente en la partida presupuestaria correspondiente para atender las erogaciones relacionadas con </w:t>
      </w:r>
      <w:r>
        <w:rPr>
          <w:rFonts w:ascii="Times New Roman" w:hAnsi="Times New Roman" w:eastAsia="Times New Roman"/>
          <w:color w:val="000000"/>
          <w:sz w:val="24"/>
          <w:szCs w:val="24"/>
          <w:lang w:val="es-es"/>
        </w:rPr>
        <w:t xml:space="preserve">el mencionado depósito </w:t>
      </w:r>
      <w:r>
        <w:rPr>
          <w:rFonts w:ascii="Times New Roman" w:hAnsi="Times New Roman" w:eastAsia="Times New Roman"/>
          <w:color w:val="000000"/>
          <w:sz w:val="24"/>
          <w:szCs w:val="24"/>
          <w:lang w:val="es-es"/>
        </w:rPr>
        <w:t xml:space="preserve">judicial. </w:t>
      </w:r>
      <w:r>
        <w:rPr>
          <w:rFonts w:ascii="Times New Roman" w:hAnsi="Times New Roman" w:eastAsia="Times New Roman"/>
          <w:color w:val="000000"/>
          <w:sz w:val="24"/>
          <w:szCs w:val="24"/>
          <w:lang w:val="es-es"/>
        </w:rPr>
        <w:t xml:space="preserve"> S</w:t>
      </w:r>
      <w:r>
        <w:rPr>
          <w:rFonts w:ascii="Times New Roman" w:hAnsi="Times New Roman" w:eastAsia="Times New Roman"/>
          <w:color w:val="000000"/>
          <w:sz w:val="24"/>
          <w:szCs w:val="24"/>
          <w:lang w:val="es-es"/>
        </w:rPr>
        <w:t>e ha previsto partida presupuestaria para atender otros casos simi</w:t>
      </w:r>
      <w:r>
        <w:rPr>
          <w:rFonts w:ascii="Times New Roman" w:hAnsi="Times New Roman" w:eastAsia="Times New Roman"/>
          <w:color w:val="000000"/>
          <w:sz w:val="24"/>
          <w:szCs w:val="24"/>
          <w:lang w:val="es-es"/>
        </w:rPr>
        <w:t>lares, pero no el que nos ocupa, por lo qu</w:t>
      </w:r>
      <w:r>
        <w:rPr>
          <w:rFonts w:ascii="Times New Roman" w:hAnsi="Times New Roman" w:eastAsia="Times New Roman"/>
          <w:color w:val="000000"/>
          <w:sz w:val="24"/>
          <w:szCs w:val="24"/>
          <w:lang w:val="es-es"/>
        </w:rPr>
        <w:t>e resulta imposible en el presente ejercicio económico hacer frente a tal erogación.</w:t>
      </w:r>
      <w:r>
        <w:rPr>
          <w:rFonts w:ascii="Times New Roman" w:hAnsi="Times New Roman" w:eastAsia="Times New Roman"/>
          <w:color w:val="000000"/>
          <w:sz w:val="24"/>
          <w:szCs w:val="24"/>
          <w:lang w:val="es-es"/>
        </w:rPr>
      </w:r>
    </w:p>
    <w:p>
      <w:pPr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lang w:val="es-es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es-es"/>
        </w:rPr>
        <w:tab/>
      </w:r>
      <w:r>
        <w:rPr>
          <w:rFonts w:ascii="Times New Roman" w:hAnsi="Times New Roman" w:eastAsia="Times New Roman"/>
          <w:sz w:val="24"/>
          <w:szCs w:val="24"/>
          <w:lang w:val="es-es"/>
        </w:rPr>
        <w:t xml:space="preserve">Que atendiendo a que, en el Presupuesto correspondiente al presente ejercicio financiero, carece de crédito presupuestario para atender el pago de los mencionados conceptos, se deberán efectuar las previsiones necesarias a fin de su inclusión en el ejercicio siguiente. </w:t>
      </w:r>
    </w:p>
    <w:p>
      <w:pPr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lang w:val="es-es"/>
        </w:rPr>
      </w:pPr>
      <w:r>
        <w:rPr>
          <w:rFonts w:ascii="Times New Roman" w:hAnsi="Times New Roman" w:eastAsia="Times New Roman"/>
          <w:sz w:val="24"/>
          <w:szCs w:val="24"/>
          <w:lang w:val="es-es"/>
        </w:rPr>
        <w:tab/>
      </w:r>
      <w:r>
        <w:rPr>
          <w:rFonts w:ascii="Times New Roman" w:hAnsi="Times New Roman" w:eastAsia="Times New Roman"/>
          <w:color w:val="000000"/>
          <w:sz w:val="24"/>
          <w:szCs w:val="24"/>
          <w:lang w:val="es-es"/>
        </w:rPr>
        <w:t>Que, conforme lo expuesto, en primer lugar, se estima pertinente que</w:t>
      </w:r>
      <w:r>
        <w:rPr>
          <w:rFonts w:ascii="Times New Roman" w:hAnsi="Times New Roman" w:eastAsia="Times New Roman"/>
          <w:sz w:val="24"/>
          <w:szCs w:val="24"/>
          <w:lang w:val="es-es"/>
        </w:rPr>
        <w:t xml:space="preserve"> la Comuna de Acebal adhiera a la Ley de Emergencia Provincial Nº 12.036 en todos sus términos, teniendo especial consideración el art. 1°, modificatoria de la Ley N° 7234. </w:t>
      </w:r>
    </w:p>
    <w:p>
      <w:pPr>
        <w:spacing w:after="0" w:line="360" w:lineRule="auto"/>
        <w:jc w:val="both"/>
        <w:rPr>
          <w:rFonts w:ascii="Times New Roman" w:hAnsi="Times New Roman" w:eastAsia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 w:eastAsia="Times New Roman"/>
          <w:sz w:val="24"/>
          <w:szCs w:val="24"/>
          <w:lang w:val="es-es"/>
        </w:rPr>
        <w:tab/>
      </w:r>
      <w:r>
        <w:rPr>
          <w:rFonts w:ascii="Times New Roman" w:hAnsi="Times New Roman" w:eastAsia="Times New Roman"/>
          <w:color w:val="000000"/>
          <w:sz w:val="24"/>
          <w:szCs w:val="24"/>
          <w:lang w:val="es-es"/>
        </w:rPr>
        <w:t>Que</w:t>
      </w:r>
      <w:r>
        <w:rPr>
          <w:rFonts w:ascii="Times New Roman" w:hAnsi="Times New Roman" w:eastAsia="Times New Roman"/>
          <w:color w:val="000000"/>
          <w:sz w:val="24"/>
          <w:szCs w:val="24"/>
          <w:lang w:val="es-es"/>
        </w:rPr>
        <w:t xml:space="preserve">, es preciso destacar lo establecido en el Art. 9 de la Ley N° 7234 en cuanto se dispone que: </w:t>
      </w:r>
      <w:r>
        <w:rPr>
          <w:rFonts w:ascii="Times New Roman" w:hAnsi="Times New Roman" w:eastAsia="Times New Roman"/>
          <w:i/>
          <w:color w:val="000000"/>
          <w:sz w:val="24"/>
          <w:szCs w:val="24"/>
          <w:lang w:val="es-es"/>
        </w:rPr>
        <w:t>“</w:t>
      </w:r>
      <w:r>
        <w:rPr>
          <w:rFonts w:ascii="Times New Roman" w:hAnsi="Times New Roman" w:eastAsia="Times New Roman"/>
          <w:i/>
          <w:color w:val="000000"/>
          <w:sz w:val="24"/>
          <w:szCs w:val="24"/>
          <w:lang w:val="es-es"/>
        </w:rPr>
        <w:t xml:space="preserve">ARTICULO 9.- Los pronunciamientos judiciales que condenen al Estado Provincial o alguno de los Entes y Organismos que integran el Sector Público Provincial, municipios y comunas, al pago de una suma de dinero o, cuando sin hacerlo, su cumplimiento se resuelva en </w:t>
      </w:r>
      <w:r>
        <w:rPr>
          <w:rFonts w:ascii="Times New Roman" w:hAnsi="Times New Roman" w:eastAsia="Times New Roman"/>
          <w:i/>
          <w:color w:val="000000"/>
          <w:sz w:val="24"/>
          <w:szCs w:val="24"/>
          <w:lang w:val="es-es"/>
        </w:rPr>
        <w:t xml:space="preserve">el pago de una suma de dinero, serán satisfechos dentro de las autorizaciones para efectuar gastos contenidas en las distintas jurisdicciones y entidades de los respectivos presupuestos, sin perjuicio del mantenimiento de los regímenes de emergencia. </w:t>
      </w:r>
      <w:r>
        <w:rPr>
          <w:rFonts w:ascii="Times New Roman" w:hAnsi="Times New Roman" w:eastAsia="Times New Roman"/>
          <w:color w:val="000000"/>
          <w:sz w:val="24"/>
          <w:szCs w:val="24"/>
          <w:lang w:val="es-es"/>
        </w:rPr>
      </w:r>
    </w:p>
    <w:p>
      <w:pPr>
        <w:spacing w:after="0" w:line="360" w:lineRule="auto"/>
        <w:jc w:val="both"/>
        <w:rPr>
          <w:rFonts w:ascii="Times New Roman" w:hAnsi="Times New Roman" w:eastAsia="Times New Roman"/>
          <w:i/>
          <w:color w:val="000000"/>
          <w:sz w:val="24"/>
          <w:szCs w:val="24"/>
          <w:lang w:val="es-es"/>
        </w:rPr>
      </w:pPr>
      <w:r>
        <w:rPr>
          <w:rFonts w:ascii="Times New Roman" w:hAnsi="Times New Roman" w:eastAsia="Times New Roman"/>
          <w:i/>
          <w:color w:val="000000"/>
          <w:sz w:val="24"/>
          <w:szCs w:val="24"/>
          <w:lang w:val="es-es"/>
        </w:rPr>
        <w:tab/>
        <w:t>En caso que el Presupuesto correspondiente al ejercicio financiero en que la condena deba ser atendida carezca de crédito presupuestario suficiente para satisfacerla, el Poder Ejecutivo o titular del Ente, deberá efectuar las previsiones necesarias a fin de su inclusión en el ejercicio siguiente, a cuyo fin las Jurisdicciones y Entidades demandadas deberán tomar conocimiento fehaciente de la condena antes del 31 de julio del año correspondiente al envío del proyecto, debiendo remitir a la Secretaría de Hacienda del Ministerio de Hacienda y Finanzas u órgano que corresponda del Ente territorial, con anterioridad al 31 de agosto del mismo año, el detalle de las sentencias firmes a incluir en el citado proyecto, de acuerdo con los lineamientos que anualmente la citada Secretaría u órgano establezca para la elaboración del Proyecto de Presupuesto. (…)”</w:t>
      </w:r>
    </w:p>
    <w:p>
      <w:pPr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lang w:val="es-es"/>
        </w:rPr>
      </w:pPr>
      <w:r>
        <w:rPr>
          <w:rFonts w:ascii="Times New Roman" w:hAnsi="Times New Roman" w:eastAsia="Times New Roman"/>
          <w:sz w:val="24"/>
          <w:szCs w:val="24"/>
          <w:lang w:val="es-es"/>
        </w:rPr>
        <w:tab/>
        <w:t>Que, en segundo lugar, en el Proyecto de</w:t>
      </w:r>
      <w:r>
        <w:rPr>
          <w:rFonts w:ascii="Times New Roman" w:hAnsi="Times New Roman" w:eastAsia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val="es-es"/>
        </w:rPr>
        <w:t xml:space="preserve">Presupuesto General de Gastos y Cálculo de Recursos correspondiente </w:t>
      </w:r>
      <w:r>
        <w:rPr>
          <w:rFonts w:ascii="Times New Roman" w:hAnsi="Times New Roman" w:eastAsia="Times New Roman"/>
          <w:sz w:val="24"/>
          <w:szCs w:val="24"/>
          <w:lang w:val="es-es"/>
        </w:rPr>
        <w:t xml:space="preserve">al ejercicio económico 2026 se cree necesario proceder a incluir una partida presupuestaria por un crédito total de $900.000 (PESOS novecientos mil C/00/100) en el rubro otras erogaciones, con destino exclusivo a la atención de los depósitos judiciales mencionados. </w:t>
      </w:r>
    </w:p>
    <w:p>
      <w:pPr>
        <w:spacing w:after="0" w:line="360" w:lineRule="auto"/>
        <w:jc w:val="both"/>
        <w:rPr>
          <w:rFonts w:ascii="Times New Roman" w:hAnsi="Times New Roman" w:eastAsia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es-es"/>
        </w:rPr>
        <w:tab/>
        <w:t>Que se debe dictar el acto administrativo correspondiente a los efectos mencionados.</w:t>
      </w:r>
    </w:p>
    <w:p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val="es-es"/>
        </w:rPr>
      </w:pPr>
      <w:r>
        <w:rPr>
          <w:rFonts w:ascii="Times New Roman" w:hAnsi="Times New Roman" w:eastAsia="Times New Roman"/>
          <w:b/>
          <w:sz w:val="24"/>
          <w:szCs w:val="24"/>
          <w:lang w:val="es-es"/>
        </w:rPr>
      </w:r>
    </w:p>
    <w:p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val="es-es"/>
        </w:rPr>
      </w:pPr>
      <w:r>
        <w:rPr>
          <w:rFonts w:ascii="Times New Roman" w:hAnsi="Times New Roman" w:eastAsia="Times New Roman"/>
          <w:b/>
          <w:sz w:val="24"/>
          <w:szCs w:val="24"/>
          <w:lang w:val="es-es"/>
        </w:rPr>
        <w:t>POR TODO ELLO,</w:t>
      </w:r>
    </w:p>
    <w:p>
      <w:pPr>
        <w:spacing w:after="0" w:line="360" w:lineRule="auto"/>
        <w:jc w:val="center"/>
        <w:rPr>
          <w:rFonts w:ascii="Times New Roman" w:hAnsi="Times New Roman" w:eastAsia="Times New Roman"/>
          <w:b/>
          <w:sz w:val="24"/>
          <w:szCs w:val="24"/>
          <w:lang w:val="es-es"/>
        </w:rPr>
      </w:pPr>
      <w:r>
        <w:rPr>
          <w:rFonts w:ascii="Times New Roman" w:hAnsi="Times New Roman" w:eastAsia="Times New Roman"/>
          <w:b/>
          <w:sz w:val="24"/>
          <w:szCs w:val="24"/>
          <w:lang w:val="es-es"/>
        </w:rPr>
        <w:t>LA COMISIÓN COMUNAL DE ACEBAL SANCIONA LA SIGUIENTE</w:t>
      </w:r>
    </w:p>
    <w:p>
      <w:pPr>
        <w:spacing w:after="0" w:line="360" w:lineRule="auto"/>
        <w:jc w:val="center"/>
        <w:rPr>
          <w:rFonts w:ascii="Times New Roman" w:hAnsi="Times New Roman" w:eastAsia="Times New Roman"/>
          <w:b/>
          <w:sz w:val="24"/>
          <w:szCs w:val="24"/>
          <w:lang w:val="es-es"/>
        </w:rPr>
      </w:pPr>
      <w:r>
        <w:rPr>
          <w:rFonts w:ascii="Times New Roman" w:hAnsi="Times New Roman" w:eastAsia="Times New Roman"/>
          <w:b/>
          <w:sz w:val="24"/>
          <w:szCs w:val="24"/>
          <w:lang w:val="es-es"/>
        </w:rPr>
        <w:t>O R D E N A N Z A</w:t>
      </w:r>
    </w:p>
    <w:p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val="es-es"/>
        </w:rPr>
      </w:pPr>
      <w:r>
        <w:rPr>
          <w:rFonts w:ascii="Times New Roman" w:hAnsi="Times New Roman" w:eastAsia="Times New Roman"/>
          <w:b/>
          <w:sz w:val="24"/>
          <w:szCs w:val="24"/>
          <w:lang w:val="es-es"/>
        </w:rPr>
      </w:r>
    </w:p>
    <w:p>
      <w:pPr>
        <w:spacing w:after="0" w:line="360" w:lineRule="auto"/>
        <w:jc w:val="both"/>
        <w:rPr>
          <w:rFonts w:ascii="Times New Roman" w:hAnsi="Times New Roman" w:eastAsia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 w:eastAsia="Times New Roman"/>
          <w:b/>
          <w:sz w:val="24"/>
          <w:szCs w:val="24"/>
          <w:lang w:val="es-es"/>
        </w:rPr>
        <w:t>ARTICULO 1.-</w:t>
      </w:r>
      <w:r>
        <w:rPr>
          <w:rFonts w:ascii="Times New Roman" w:hAnsi="Times New Roman" w:eastAsia="Times New Roman"/>
          <w:sz w:val="24"/>
          <w:szCs w:val="24"/>
          <w:lang w:val="es-es"/>
        </w:rPr>
        <w:t xml:space="preserve"> Autorícese a los apoderados de la Comuna de Acebal a interponer queja por denegación del recurso extraordinario (Ley N° 48 y CPCCN)</w:t>
      </w:r>
      <w:r>
        <w:rPr>
          <w:rFonts w:ascii="Times New Roman" w:hAnsi="Times New Roman" w:eastAsia="Times New Roman"/>
          <w:color w:val="000000"/>
          <w:sz w:val="24"/>
          <w:szCs w:val="24"/>
          <w:lang w:val="es-es"/>
        </w:rPr>
        <w:t xml:space="preserve"> en los </w:t>
      </w:r>
      <w:r>
        <w:rPr>
          <w:rFonts w:ascii="Times New Roman" w:hAnsi="Times New Roman" w:eastAsia="Times New Roman"/>
          <w:sz w:val="24"/>
          <w:szCs w:val="24"/>
          <w:noProof w:val="1"/>
        </w:rPr>
        <w:t>expedientes judiciales “BRIDGESTONE ARGENTINA SAIC C/ COMUNA DE ACEBAL-RCA- (CUIJ 21-17456232-3) S/ QUEJA POR DENEGACIÓN DEL RECURSO DE INCONSTITUCIONALIDAD, CUIJ NRO. 21-200515976-5</w:t>
      </w:r>
      <w:r>
        <w:rPr>
          <w:rFonts w:ascii="Times New Roman" w:hAnsi="Times New Roman" w:eastAsia="Times New Roman"/>
          <w:sz w:val="24"/>
          <w:szCs w:val="24"/>
          <w:lang w:val="es-es"/>
        </w:rPr>
        <w:t>”</w:t>
      </w:r>
      <w:r>
        <w:rPr>
          <w:rFonts w:ascii="Times New Roman" w:hAnsi="Times New Roman" w:eastAsia="Times New Roman"/>
          <w:sz w:val="24"/>
          <w:szCs w:val="24"/>
          <w:noProof w:val="1"/>
        </w:rPr>
        <w:t xml:space="preserve"> de trámite ante Corte Suprema de Justicia de la Provincia de Santa Fe. </w:t>
      </w:r>
      <w:r>
        <w:rPr>
          <w:rFonts w:ascii="Times New Roman" w:hAnsi="Times New Roman" w:eastAsia="Times New Roman"/>
          <w:color w:val="000000"/>
          <w:sz w:val="24"/>
          <w:szCs w:val="24"/>
          <w:lang w:val="es-es"/>
        </w:rPr>
      </w:r>
    </w:p>
    <w:p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val="es-es"/>
        </w:rPr>
      </w:pPr>
      <w:r>
        <w:rPr>
          <w:rFonts w:ascii="Times New Roman" w:hAnsi="Times New Roman" w:eastAsia="Times New Roman"/>
          <w:b/>
          <w:sz w:val="24"/>
          <w:szCs w:val="24"/>
          <w:lang w:val="es-es"/>
        </w:rPr>
      </w:r>
    </w:p>
    <w:p>
      <w:pPr>
        <w:spacing w:after="0" w:line="360" w:lineRule="auto"/>
        <w:jc w:val="both"/>
        <w:rPr>
          <w:rFonts w:ascii="Times New Roman" w:hAnsi="Times New Roman" w:eastAsia="Times New Roman"/>
          <w:i/>
          <w:color w:val="000000"/>
          <w:sz w:val="24"/>
          <w:szCs w:val="24"/>
          <w:lang w:val="es-es"/>
        </w:rPr>
      </w:pPr>
      <w:r>
        <w:rPr>
          <w:rFonts w:ascii="Times New Roman" w:hAnsi="Times New Roman" w:eastAsia="Times New Roman"/>
          <w:b/>
          <w:sz w:val="24"/>
          <w:szCs w:val="24"/>
          <w:lang w:val="es-es"/>
        </w:rPr>
        <w:t xml:space="preserve">ARTÍCULO 2.- </w:t>
      </w:r>
      <w:r>
        <w:rPr>
          <w:rFonts w:ascii="Times New Roman" w:hAnsi="Times New Roman" w:eastAsia="Times New Roman"/>
          <w:sz w:val="24"/>
          <w:szCs w:val="24"/>
          <w:lang w:val="es-es"/>
        </w:rPr>
        <w:t xml:space="preserve">Adhiérase la Comuna de Acebal a la Ley de Emergencia Provincial Nº 12.036 en todos sus términos, teniendo especial consideración el art. 1° de dicha ley donde se establece que se sustituye el Art. 8 de la Ley N° 7234 por el siguiente: </w:t>
      </w:r>
      <w:r>
        <w:rPr>
          <w:rFonts w:ascii="Times New Roman" w:hAnsi="Times New Roman" w:eastAsia="Times New Roman"/>
          <w:i/>
          <w:sz w:val="24"/>
          <w:szCs w:val="24"/>
          <w:lang w:val="es-es"/>
        </w:rPr>
        <w:t>“</w:t>
      </w:r>
      <w:r>
        <w:rPr>
          <w:rFonts w:ascii="Times New Roman" w:hAnsi="Times New Roman" w:eastAsia="Times New Roman"/>
          <w:i/>
          <w:color w:val="000000"/>
          <w:sz w:val="24"/>
          <w:szCs w:val="24"/>
          <w:lang w:val="es-es"/>
        </w:rPr>
        <w:t xml:space="preserve">Los fondos, valores y demás medios de financiamiento afectados a la ejecución presupuestaria del sector público provincial, municipal y comunal, ya sea que se trate de dinero en efectivo, depósitos en cuentas bancarias, títulos valores emitidos, obligaciones de terceros en cartera y en general cualquier otro medio de pago que sea utilizado para atender erogaciones previstas en el Presupuesto General de la Provincia, los municipios y comunas, son inembargables y no se </w:t>
      </w:r>
      <w:r>
        <w:rPr>
          <w:rFonts w:ascii="Times New Roman" w:hAnsi="Times New Roman" w:eastAsia="Times New Roman"/>
          <w:i/>
          <w:color w:val="000000"/>
          <w:sz w:val="24"/>
          <w:szCs w:val="24"/>
          <w:lang w:val="es-es"/>
        </w:rPr>
        <w:t>admitirá toma de razón alguna que afecte en cualquier sentido su libre disponibilidad por parte de los titulares de los fondos y valores respectivos</w:t>
      </w:r>
      <w:r>
        <w:rPr>
          <w:rFonts w:ascii="Times New Roman" w:hAnsi="Times New Roman" w:eastAsia="Times New Roman"/>
          <w:i/>
          <w:color w:val="000000"/>
          <w:sz w:val="24"/>
          <w:szCs w:val="24"/>
          <w:lang w:val="es-es"/>
        </w:rPr>
        <w:t xml:space="preserve"> (…)</w:t>
      </w:r>
      <w:r>
        <w:rPr>
          <w:rFonts w:ascii="Times New Roman" w:hAnsi="Times New Roman" w:eastAsia="Times New Roman"/>
          <w:i/>
          <w:color w:val="000000"/>
          <w:sz w:val="24"/>
          <w:szCs w:val="24"/>
          <w:lang w:val="es-es"/>
        </w:rPr>
        <w:t>”.</w:t>
      </w:r>
      <w:r>
        <w:rPr>
          <w:rFonts w:ascii="Times New Roman" w:hAnsi="Times New Roman" w:eastAsia="Times New Roman"/>
          <w:i/>
          <w:color w:val="000000"/>
          <w:sz w:val="24"/>
          <w:szCs w:val="24"/>
          <w:lang w:val="es-es"/>
        </w:rPr>
      </w:r>
    </w:p>
    <w:p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val="es-es"/>
        </w:rPr>
      </w:pPr>
      <w:r>
        <w:rPr>
          <w:rFonts w:ascii="Times New Roman" w:hAnsi="Times New Roman" w:eastAsia="Times New Roman"/>
          <w:b/>
          <w:sz w:val="24"/>
          <w:szCs w:val="24"/>
          <w:lang w:val="es-es"/>
        </w:rPr>
      </w:r>
    </w:p>
    <w:p>
      <w:pPr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lang w:val="es-es"/>
        </w:rPr>
      </w:pPr>
      <w:r>
        <w:rPr>
          <w:rFonts w:ascii="Times New Roman" w:hAnsi="Times New Roman" w:eastAsia="Times New Roman"/>
          <w:b/>
          <w:sz w:val="24"/>
          <w:szCs w:val="24"/>
          <w:lang w:val="es-es"/>
        </w:rPr>
        <w:t xml:space="preserve">ARTICULO 3.-  </w:t>
      </w:r>
      <w:r>
        <w:rPr>
          <w:rFonts w:ascii="Times New Roman" w:hAnsi="Times New Roman" w:eastAsia="Times New Roman"/>
          <w:sz w:val="24"/>
          <w:szCs w:val="24"/>
          <w:lang w:val="es-es"/>
        </w:rPr>
        <w:t xml:space="preserve">Dispóngase que en el Proyecto de </w:t>
      </w:r>
      <w:r>
        <w:rPr>
          <w:rFonts w:ascii="Times New Roman" w:hAnsi="Times New Roman" w:eastAsia="Times New Roman"/>
          <w:color w:val="000000"/>
          <w:sz w:val="24"/>
          <w:szCs w:val="24"/>
          <w:lang w:val="es-es"/>
        </w:rPr>
        <w:t>Presupuesto General de Gastos y Cálculo de Recursos correspondiente al ejercicio económico 2026 se incluirá un</w:t>
      </w:r>
      <w:r>
        <w:rPr>
          <w:rFonts w:ascii="Times New Roman" w:hAnsi="Times New Roman" w:eastAsia="Times New Roman"/>
          <w:sz w:val="24"/>
          <w:szCs w:val="24"/>
          <w:lang w:val="es-es"/>
        </w:rPr>
        <w:t xml:space="preserve">a partida presupuestaria por un crédito total de $900.000(PESOS Novecientos mil S C/00/100) en el rubro otras erogaciones </w:t>
      </w:r>
    </w:p>
    <w:p>
      <w:pPr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lang w:val="es-es"/>
        </w:rPr>
      </w:pPr>
      <w:r>
        <w:rPr>
          <w:rFonts w:ascii="Times New Roman" w:hAnsi="Times New Roman" w:eastAsia="Times New Roman"/>
          <w:sz w:val="24"/>
          <w:szCs w:val="24"/>
          <w:lang w:val="es-es"/>
        </w:rPr>
        <w:t xml:space="preserve">, con destino exclusivo a la atención de los depósitos judiciales para la interposición de las quejas por denegación del recurso extraordinario autorizadas en el artículo primero de la presente. </w:t>
      </w:r>
    </w:p>
    <w:p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val="es-es"/>
        </w:rPr>
      </w:pPr>
      <w:r>
        <w:rPr>
          <w:rFonts w:ascii="Times New Roman" w:hAnsi="Times New Roman" w:eastAsia="Times New Roman"/>
          <w:b/>
          <w:sz w:val="24"/>
          <w:szCs w:val="24"/>
          <w:lang w:val="es-es"/>
        </w:rPr>
      </w:r>
    </w:p>
    <w:p>
      <w:pPr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lang w:val="es-es"/>
        </w:rPr>
      </w:pPr>
      <w:r>
        <w:rPr>
          <w:rFonts w:ascii="Times New Roman" w:hAnsi="Times New Roman" w:eastAsia="Times New Roman"/>
          <w:b/>
          <w:sz w:val="24"/>
          <w:szCs w:val="24"/>
          <w:lang w:val="es-es"/>
        </w:rPr>
        <w:t>ARTICULO 4.- De forma.</w:t>
      </w:r>
      <w:r>
        <w:rPr>
          <w:rFonts w:ascii="Times New Roman" w:hAnsi="Times New Roman" w:eastAsia="Times New Roman"/>
          <w:sz w:val="24"/>
          <w:szCs w:val="24"/>
          <w:lang w:val="es-es"/>
        </w:rPr>
        <w:t xml:space="preserve"> Regístrese, Publíquese y Archívese.</w:t>
      </w:r>
    </w:p>
    <w:p>
      <w:pPr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lang w:val="es-es"/>
        </w:rPr>
      </w:pPr>
      <w:r>
        <w:rPr>
          <w:rFonts w:ascii="Times New Roman" w:hAnsi="Times New Roman" w:eastAsia="Times New Roman"/>
          <w:sz w:val="24"/>
          <w:szCs w:val="24"/>
          <w:lang w:val="es-es"/>
        </w:rPr>
      </w:r>
    </w:p>
    <w:p>
      <w:pPr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noProof w:val="1"/>
        </w:rPr>
      </w:pPr>
      <w:r>
        <w:rPr>
          <w:rFonts w:ascii="Times New Roman" w:hAnsi="Times New Roman" w:eastAsia="Times New Roman"/>
          <w:sz w:val="24"/>
          <w:szCs w:val="24"/>
          <w:noProof w:val="1"/>
        </w:rPr>
        <w:tab/>
      </w:r>
      <w:r>
        <w:rPr>
          <w:rFonts w:ascii="Times New Roman" w:hAnsi="Times New Roman" w:eastAsia="Times New Roman"/>
          <w:sz w:val="24"/>
          <w:szCs w:val="24"/>
        </w:rPr>
      </w:r>
      <w:bookmarkStart w:id="0" w:name="_GoBack"/>
      <w:bookmarkEnd w:id="0"/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  <w:noProof w:val="1"/>
        </w:rPr>
      </w:r>
    </w:p>
    <w:p>
      <w:pPr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noProof w:val="1"/>
        </w:rPr>
      </w:pPr>
      <w:r>
        <w:rPr>
          <w:rFonts w:ascii="Times New Roman" w:hAnsi="Times New Roman" w:eastAsia="Times New Roman"/>
          <w:sz w:val="24"/>
          <w:szCs w:val="24"/>
          <w:noProof w:val="1"/>
        </w:rPr>
      </w:r>
    </w:p>
    <w:p>
      <w:pPr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lang w:val="es-es"/>
        </w:rPr>
      </w:pPr>
      <w:r>
        <w:rPr>
          <w:rFonts w:ascii="Times New Roman" w:hAnsi="Times New Roman" w:eastAsia="Times New Roman"/>
          <w:sz w:val="24"/>
          <w:szCs w:val="24"/>
          <w:lang w:val="es-es"/>
        </w:rPr>
      </w:r>
    </w:p>
    <w:p>
      <w:pPr>
        <w:spacing/>
        <w:jc w:val="center"/>
        <w:rPr>
          <w:rFonts w:ascii="Times New Roman" w:hAnsi="Times New Roman" w:eastAsia="Times New Roman"/>
          <w:sz w:val="24"/>
          <w:szCs w:val="24"/>
          <w:lang w:val="es-es"/>
        </w:rPr>
      </w:pPr>
      <w:r>
        <w:rPr>
          <w:rFonts w:ascii="Times New Roman" w:hAnsi="Times New Roman" w:eastAsia="Times New Roman"/>
          <w:sz w:val="24"/>
          <w:szCs w:val="24"/>
          <w:lang w:val="es-es"/>
        </w:rPr>
      </w:r>
    </w:p>
    <w:p>
      <w:pPr>
        <w:rPr>
          <w:rFonts w:ascii="Times New Roman" w:hAnsi="Times New Roman" w:eastAsia="Times New Roman"/>
          <w:sz w:val="24"/>
          <w:szCs w:val="24"/>
          <w:lang w:val="es-es"/>
        </w:rPr>
      </w:pPr>
      <w:r>
        <w:rPr>
          <w:rFonts w:ascii="Times New Roman" w:hAnsi="Times New Roman" w:eastAsia="Times New Roman"/>
          <w:sz w:val="24"/>
          <w:szCs w:val="24"/>
          <w:lang w:val="es-es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417" w:right="1701" w:bottom="1417"/>
      <w:paperSrc w:first="0" w:other="0"/>
      <w:pgNumType w:fmt="decimal"/>
      <w:tmGutter w:val="1"/>
      <w:mirrorMargins w:val="1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mirrorMargins/>
  <w:autoHyphenation w:val="0"/>
  <w:doNotShadeFormData w:val="0"/>
  <w:captions>
    <w:caption w:name="Tabla" w:pos="below" w:numFmt="decimal"/>
    <w:caption w:name="Figura" w:pos="below" w:numFmt="decimal"/>
    <w:caption w:name="Imagen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2"/>
    <w:tmLastPosSelect w:val="0"/>
    <w:tmLastPosFrameIdx w:val="0"/>
    <w:tmLastPosCaret>
      <w:tmLastPosPgfIdx w:val="3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40396888" w:val="938" w:fileVer="341" w:fileVerOS="4"/>
  <w:guidesAndGrid showGuides="1" lockGuides="0" snapToGuides="1" snapToPageMargins="0" snapToOtherObjects="1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160" w:line="259" w:lineRule="auto"/>
    </w:pPr>
  </w:style>
  <w:style w:type="character" w:styleId="char0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160" w:line="259" w:lineRule="auto"/>
    </w:pPr>
  </w:style>
  <w:style w:type="character" w:styleId="char0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rev.938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Renghini</dc:creator>
  <cp:keywords/>
  <dc:description/>
  <cp:lastModifiedBy/>
  <cp:revision>4</cp:revision>
  <dcterms:created xsi:type="dcterms:W3CDTF">2024-10-14T22:35:00Z</dcterms:created>
  <dcterms:modified xsi:type="dcterms:W3CDTF">2025-02-24T11:34:48Z</dcterms:modified>
</cp:coreProperties>
</file>