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ra1"/>
        <w:ind w:left="8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0" hidden="0" allowOverlap="1">
                <wp:simplePos x="0" y="0"/>
                <wp:positionH relativeFrom="page">
                  <wp:posOffset>1619885</wp:posOffset>
                </wp:positionH>
                <wp:positionV relativeFrom="page">
                  <wp:posOffset>1706880</wp:posOffset>
                </wp:positionV>
                <wp:extent cx="6152515" cy="9525"/>
                <wp:effectExtent l="0" t="0" r="0" b="0"/>
                <wp:wrapNone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val="SMDATA_14_8ffwaB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IoAAAAAAAAAAAAAAAAAAAAAAAAPcJAAAAAAAAAAAAAIAKAADZJQAADwAAAAAAAAD3CQAAgAoAAA=="/>
                          </a:ext>
                        </a:extLst>
                      </wps:cNvSpPr>
                      <wps:spPr>
                        <a:xfrm>
                          <a:off x="0" y="0"/>
                          <a:ext cx="615251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6152515" b="9525"/>
                          <a:pathLst>
                            <a:path w="6152515" h="9525">
                              <a:moveTo>
                                <a:pt x="615251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152515" y="9525"/>
                              </a:lnTo>
                              <a:lnTo>
                                <a:pt x="6152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127.55pt;margin-top:134.40pt;mso-position-horizontal-relative:page;mso-position-vertical-relative:page;width:484.45pt;height:0.75pt;z-index:251658242;mso-wrap-distance-left:0.00pt;mso-wrap-distance-top:0.00pt;mso-wrap-distance-right:0.00pt;mso-wrap-distance-bottom:0.00pt;mso-wrap-style:square" coordsize="9689,15" path="m9689,0l0,0l0,15l9689,15l9689,0xe" stroked="f" fillcolor="#000000" v:ext="SMDATA_14_8ffwaB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IoAAAAAAAAAAAAAAAAAAAAAAAAPcJAAAAAAAAAAAAAIAKAADZJQAADwAAAAAAAAD3CQAAgAoAAA==">
                <v:fill color2="#000000" type="solid" angle="90"/>
                <w10:wrap type="none" anchorx="page" anchory="page"/>
              </v:shape>
            </w:pict>
          </mc:Fallback>
        </mc:AlternateContent>
      </w:r>
      <w:r/>
      <w:r>
        <w:rPr>
          <w:noProof/>
        </w:rPr>
        <w:drawing>
          <wp:inline distT="0" distB="0" distL="0" distR="0">
            <wp:extent cx="2256790" cy="914400"/>
            <wp:effectExtent l="0" t="0" r="0" b="0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extLst>
                        <a:ext uri="smNativeData">
                          <sm:smNativeData xmlns:sm="smNativeData" val="SMDATA_16_8ffwaB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4g0AAKAFAAAAAAAAAAAAAAAAAAA="/>
                        </a:ext>
                      </a:extLst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/>
      <w:r>
        <w:rPr>
          <w:sz w:val="20"/>
        </w:rPr>
      </w:r>
    </w:p>
    <w:p>
      <w:pPr>
        <w:pStyle w:val="para1"/>
      </w:pPr>
      <w:r/>
    </w:p>
    <w:p>
      <w:pPr>
        <w:pStyle w:val="para1"/>
        <w:spacing w:before="236"/>
      </w:pPr>
      <w:r/>
    </w:p>
    <w:p>
      <w:pPr>
        <w:pStyle w:val="para3"/>
        <w:rPr>
          <w:spacing w:val="-2"/>
        </w:rPr>
      </w:pPr>
      <w:r>
        <w:t>ORDENANZA</w:t>
      </w:r>
      <w:r>
        <w:rPr>
          <w:spacing w:val="-5"/>
        </w:rPr>
        <w:t xml:space="preserve"> </w:t>
      </w:r>
      <w:r>
        <w:rPr>
          <w:spacing w:val="-2"/>
        </w:rPr>
        <w:t>N°786/25</w:t>
      </w:r>
      <w:r>
        <w:rPr>
          <w:spacing w:val="-2"/>
        </w:rPr>
      </w:r>
    </w:p>
    <w:p>
      <w:pPr>
        <w:pStyle w:val="para1"/>
        <w:ind w:left="5810"/>
        <w:spacing w:before="113"/>
        <w:rPr>
          <w:spacing w:val="-4"/>
        </w:rPr>
      </w:pPr>
      <w:r>
        <w:t>Acebal,16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Octubre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2025</w:t>
      </w:r>
      <w:r>
        <w:rPr>
          <w:spacing w:val="-4"/>
        </w:rPr>
      </w:r>
    </w:p>
    <w:p>
      <w:pPr>
        <w:pStyle w:val="para1"/>
      </w:pPr>
      <w:r/>
    </w:p>
    <w:p>
      <w:pPr>
        <w:pStyle w:val="para1"/>
        <w:spacing w:before="256"/>
      </w:pPr>
      <w:r/>
    </w:p>
    <w:p>
      <w:pPr>
        <w:pStyle w:val="para2"/>
      </w:pPr>
      <w:r>
        <w:rPr>
          <w:spacing w:val="-2"/>
        </w:rPr>
        <w:t>VISTO:</w:t>
      </w:r>
      <w:r/>
    </w:p>
    <w:p>
      <w:pPr>
        <w:pStyle w:val="para1"/>
        <w:ind w:left="3035"/>
        <w:spacing w:before="2"/>
      </w:pPr>
      <w:r>
        <w:t>Lo</w:t>
      </w:r>
      <w:r>
        <w:rPr>
          <w:spacing w:val="31"/>
        </w:rPr>
        <w:t xml:space="preserve"> </w:t>
      </w:r>
      <w:r>
        <w:t>dispuesto</w:t>
      </w:r>
      <w:r>
        <w:rPr>
          <w:spacing w:val="26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Ley</w:t>
      </w:r>
      <w:r>
        <w:rPr>
          <w:spacing w:val="17"/>
        </w:rPr>
        <w:t xml:space="preserve"> </w:t>
      </w:r>
      <w:r>
        <w:t>12306</w:t>
      </w:r>
      <w:r>
        <w:rPr>
          <w:spacing w:val="27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modificatorias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t>permite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5"/>
        </w:rPr>
        <w:t>las</w:t>
      </w:r>
      <w:r/>
    </w:p>
    <w:p>
      <w:pPr>
        <w:pStyle w:val="para1"/>
        <w:ind w:left="749" w:right="34"/>
        <w:spacing/>
        <w:jc w:val="both"/>
      </w:pPr>
      <w:r>
        <w:t>Comunas</w:t>
      </w:r>
      <w:r>
        <w:rPr>
          <w:spacing w:val="-2"/>
        </w:rPr>
        <w:t xml:space="preserve"> </w:t>
      </w:r>
      <w:r>
        <w:t>variar la tasa testigo que fija la Provincia para el</w:t>
      </w:r>
      <w:r>
        <w:rPr>
          <w:spacing w:val="-3"/>
        </w:rPr>
        <w:t xml:space="preserve"> </w:t>
      </w:r>
      <w:r>
        <w:t>impuesto Patente Única sobre vehículos para la totalidad del año fiscal 2025 en más o en menos hasta un veinte por ciento (% 20) respectivamente;</w:t>
      </w:r>
    </w:p>
    <w:p>
      <w:pPr>
        <w:pStyle w:val="para2"/>
        <w:spacing w:before="274"/>
      </w:pPr>
      <w:r>
        <w:rPr>
          <w:spacing w:val="-2"/>
        </w:rPr>
        <w:t>CONSIDERANDO:</w:t>
      </w:r>
      <w:r/>
    </w:p>
    <w:p>
      <w:pPr>
        <w:pStyle w:val="para1"/>
      </w:pPr>
      <w:r/>
    </w:p>
    <w:p>
      <w:pPr>
        <w:pStyle w:val="para1"/>
        <w:ind w:left="749" w:right="27" w:firstLine="2405"/>
        <w:spacing/>
        <w:jc w:val="both"/>
      </w:pPr>
      <w:r>
        <w:t>Que los Municipios y</w:t>
      </w:r>
      <w:r>
        <w:rPr>
          <w:spacing w:val="-3"/>
        </w:rPr>
        <w:t xml:space="preserve"> </w:t>
      </w:r>
      <w:r>
        <w:t>Comunas podrán hacer uso de la facultad de ejercer dicha opción ante la Administración Provincial de Impuestos,</w:t>
      </w:r>
      <w:r>
        <w:rPr>
          <w:spacing w:val="40"/>
        </w:rPr>
        <w:t xml:space="preserve"> </w:t>
      </w:r>
      <w:r>
        <w:t>hasta el 30 de noviembre de 2025, para lo cual deberán sancionar la Ordenanza Fiscal dictada que autorice el incremento o disminución de la alícuota pertinente y notificar en forma fehaciente y con carácter de Declaración Jurada los datos de la ordenanza que modifica</w:t>
      </w:r>
      <w:r>
        <w:rPr>
          <w:spacing w:val="40"/>
        </w:rPr>
        <w:t xml:space="preserve"> </w:t>
      </w:r>
      <w:r>
        <w:t>la tasa testigo fijada por la provincia vía aplicación informática;</w:t>
      </w:r>
    </w:p>
    <w:p>
      <w:pPr>
        <w:pStyle w:val="para1"/>
        <w:spacing w:before="5"/>
      </w:pPr>
      <w:r/>
    </w:p>
    <w:p>
      <w:pPr>
        <w:pStyle w:val="para1"/>
        <w:ind w:left="1109" w:firstLine="1925"/>
        <w:spacing w:before="1" w:line="238" w:lineRule="auto"/>
      </w:pPr>
      <w:r>
        <w:t>Que el tema ha sido tratado en reunión de comisión comunal de fecha 16 de Octubre de 2025 según consta en acta Nº 275 ;</w:t>
      </w:r>
    </w:p>
    <w:p>
      <w:pPr>
        <w:pStyle w:val="para1"/>
        <w:ind w:left="3155"/>
        <w:spacing w:before="3"/>
      </w:pPr>
      <w:r>
        <w:t>Por</w:t>
      </w:r>
      <w:r>
        <w:rPr>
          <w:spacing w:val="-3"/>
        </w:rPr>
        <w:t xml:space="preserve"> </w:t>
      </w:r>
      <w:r>
        <w:t xml:space="preserve">todo </w:t>
      </w:r>
      <w:r>
        <w:rPr>
          <w:spacing w:val="-2"/>
        </w:rPr>
        <w:t>ello:</w:t>
      </w:r>
      <w:r/>
    </w:p>
    <w:p>
      <w:pPr>
        <w:pStyle w:val="para1"/>
        <w:spacing w:before="2"/>
      </w:pPr>
      <w:r/>
    </w:p>
    <w:p>
      <w:pPr>
        <w:pStyle w:val="para2"/>
        <w:ind w:left="1109" w:firstLine="662"/>
        <w:spacing w:line="238" w:lineRule="auto"/>
      </w:pPr>
      <w:r>
        <w:t>LA COMISIÓN</w:t>
      </w:r>
      <w:r>
        <w:rPr>
          <w:spacing w:val="39"/>
        </w:rPr>
        <w:t xml:space="preserve"> </w:t>
      </w:r>
      <w:r>
        <w:t>COMUNAL</w:t>
      </w:r>
      <w:r>
        <w:rPr>
          <w:spacing w:val="29"/>
        </w:rPr>
        <w:t xml:space="preserve"> </w:t>
      </w:r>
      <w:r>
        <w:t>DE ACEBAL</w:t>
      </w:r>
      <w:r>
        <w:rPr>
          <w:spacing w:val="80"/>
        </w:rPr>
        <w:t xml:space="preserve"> </w:t>
      </w:r>
      <w:r>
        <w:t>SANCIONA LA SIGUIENTE ORDENANZA</w:t>
      </w:r>
      <w:r>
        <w:rPr>
          <w:spacing w:val="-17"/>
        </w:rPr>
        <w:t xml:space="preserve"> </w:t>
      </w:r>
      <w:r>
        <w:t>N°786/25</w:t>
      </w:r>
    </w:p>
    <w:p>
      <w:pPr>
        <w:pStyle w:val="para1"/>
      </w:pPr>
      <w:r/>
    </w:p>
    <w:p>
      <w:pPr>
        <w:pStyle w:val="para1"/>
        <w:ind w:left="1109" w:right="18"/>
        <w:spacing w:before="1"/>
        <w:jc w:val="both"/>
      </w:pPr>
      <w:r>
        <w:t xml:space="preserve">ARTÍCULO 1.- Dispónese establecer para el año fiscal 2025 un incremento del veinte por ciento (20%) respecto del gravamen determinado para los vehículos modelo años 2025 y anteriores para la totalidad del año fiscal 2025 del Impuestos Patente Única sobre Vehículos de acuerdo a las facultades conferidas por la Ley </w:t>
      </w:r>
      <w:r>
        <w:rPr>
          <w:spacing w:val="-2"/>
        </w:rPr>
        <w:t>respectiva.</w:t>
      </w:r>
      <w:r/>
    </w:p>
    <w:p>
      <w:pPr>
        <w:pStyle w:val="para1"/>
      </w:pPr>
      <w:r/>
    </w:p>
    <w:p>
      <w:pPr>
        <w:pStyle w:val="para1"/>
        <w:ind w:left="1109" w:right="27"/>
        <w:spacing w:line="242" w:lineRule="auto"/>
        <w:jc w:val="both"/>
      </w:pPr>
      <w:r>
        <w:t>ARTÍCULO</w:t>
      </w:r>
      <w:r>
        <w:rPr>
          <w:spacing w:val="-3"/>
        </w:rPr>
        <w:t xml:space="preserve"> </w:t>
      </w:r>
      <w:r>
        <w:t>2.- Regístrese, Publíquese, Comuníquese</w:t>
      </w:r>
      <w:r>
        <w:rPr>
          <w:spacing w:val="-3"/>
        </w:rPr>
        <w:t xml:space="preserve"> </w:t>
      </w:r>
      <w:r>
        <w:t>a la</w:t>
      </w:r>
      <w:r>
        <w:rPr>
          <w:spacing w:val="-12"/>
        </w:rPr>
        <w:t xml:space="preserve"> </w:t>
      </w:r>
      <w:r>
        <w:t>Administración</w:t>
      </w:r>
      <w:r>
        <w:rPr>
          <w:spacing w:val="-7"/>
        </w:rPr>
        <w:t xml:space="preserve"> </w:t>
      </w:r>
      <w:r>
        <w:t>Provincial de Impuestos –</w:t>
      </w:r>
      <w:r>
        <w:rPr>
          <w:spacing w:val="-2"/>
        </w:rPr>
        <w:t xml:space="preserve"> </w:t>
      </w:r>
      <w:r>
        <w:t>A.P.I. – y</w:t>
      </w:r>
      <w:r>
        <w:rPr>
          <w:spacing w:val="-2"/>
        </w:rPr>
        <w:t xml:space="preserve"> </w:t>
      </w:r>
      <w:r>
        <w:t>Archívese.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20170" w:w="12240"/>
      <w:pgMar w:left="1800" w:top="640" w:right="1080" w:bottom="28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 MT">
    <w:panose1 w:val="020B0604020202020204"/>
    <w:charset w:val="1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a" w:pos="below" w:numFmt="decimal"/>
    <w:caption w:name="Figura" w:pos="below" w:numFmt="decimal"/>
    <w:caption w:name="Imagen" w:pos="below" w:numFmt="decimal"/>
  </w:captions>
  <w:drawingGridHorizontalSpacing w:val="110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  <w:doNotUseHTMLParagraphAutoSpacing w:val="1"/>
  </w:compat>
  <w:shapeDefaults>
    <o:shapedefaults v:ext="edit" spidmax="1027"/>
    <o:shapelayout v:ext="edit">
      <o:rules v:ext="edit"/>
    </o:shapelayout>
  </w:shapeDefaults>
  <w:tmPrefOne w:val="17"/>
  <w:tmPrefTwo w:val="1"/>
  <w:tmFmtPref w:val="18928140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60622577" w:val="938" w:fileVer="341" w:fileVerOS="4"/>
  <w:guidesAndGrid showGuides="1" lockGuides="0" snapToGuides="1" snapToPageMargins="0" snapToOtherObjects="1" tolerance="8" gridDistanceHorizontal="110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rPr>
      <w:rFonts w:ascii="Times New Roman" w:hAnsi="Times New Roman" w:eastAsia="Times New Roman"/>
      <w:lang w:val="es-es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heading 1"/>
    <w:qFormat/>
    <w:basedOn w:val="para0"/>
    <w:pPr>
      <w:ind w:left="749"/>
      <w:spacing w:before="1"/>
      <w:outlineLvl w:val="1"/>
    </w:pPr>
    <w:rPr>
      <w:sz w:val="24"/>
      <w:szCs w:val="24"/>
    </w:rPr>
  </w:style>
  <w:style w:type="paragraph" w:styleId="para3">
    <w:name w:val="Title"/>
    <w:qFormat/>
    <w:basedOn w:val="para0"/>
    <w:pPr>
      <w:ind w:right="378"/>
      <w:spacing/>
      <w:jc w:val="right"/>
    </w:pPr>
    <w:rPr>
      <w:b/>
      <w:bCs/>
      <w:sz w:val="24"/>
      <w:szCs w:val="24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para0" w:default="1">
    <w:name w:val="Normal"/>
    <w:qFormat/>
    <w:pPr>
      <w:widowControl w:val="0"/>
    </w:pPr>
    <w:rPr>
      <w:rFonts w:ascii="Times New Roman" w:hAnsi="Times New Roman" w:eastAsia="Times New Roman"/>
      <w:lang w:val="es-es"/>
    </w:rPr>
  </w:style>
  <w:style w:type="paragraph" w:styleId="para1">
    <w:name w:val="Body Text"/>
    <w:qFormat/>
    <w:basedOn w:val="para0"/>
    <w:rPr>
      <w:sz w:val="24"/>
      <w:szCs w:val="24"/>
    </w:rPr>
  </w:style>
  <w:style w:type="paragraph" w:styleId="para2">
    <w:name w:val="heading 1"/>
    <w:qFormat/>
    <w:basedOn w:val="para0"/>
    <w:pPr>
      <w:ind w:left="749"/>
      <w:spacing w:before="1"/>
      <w:outlineLvl w:val="1"/>
    </w:pPr>
    <w:rPr>
      <w:sz w:val="24"/>
      <w:szCs w:val="24"/>
    </w:rPr>
  </w:style>
  <w:style w:type="paragraph" w:styleId="para3">
    <w:name w:val="Title"/>
    <w:qFormat/>
    <w:basedOn w:val="para0"/>
    <w:pPr>
      <w:ind w:right="378"/>
      <w:spacing/>
      <w:jc w:val="right"/>
    </w:pPr>
    <w:rPr>
      <w:b/>
      <w:bCs/>
      <w:sz w:val="24"/>
      <w:szCs w:val="24"/>
    </w:rPr>
  </w:style>
  <w:style w:type="paragraph" w:styleId="para4">
    <w:name w:val="List Paragraph"/>
    <w:qFormat/>
    <w:basedOn w:val="para0"/>
  </w:style>
  <w:style w:type="paragraph" w:styleId="para5" w:customStyle="1">
    <w:name w:val="Table Paragraph"/>
    <w:qFormat/>
    <w:basedOn w:val="para0"/>
  </w:style>
  <w:style w:type="character" w:styleId="char0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rev.938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102/14</dc:title>
  <dc:subject/>
  <dc:creator>.</dc:creator>
  <cp:keywords/>
  <dc:description/>
  <cp:lastModifiedBy/>
  <cp:revision>2</cp:revision>
  <cp:lastPrinted>2025-10-16T13:49:41Z</cp:lastPrinted>
  <dcterms:created xsi:type="dcterms:W3CDTF">2025-10-16T13:41:48Z</dcterms:created>
  <dcterms:modified xsi:type="dcterms:W3CDTF">2025-10-16T13:49:37Z</dcterms:modified>
</cp:coreProperties>
</file>